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79BF" w14:textId="77777777" w:rsidR="00417B58" w:rsidRDefault="00410B79">
      <w:pPr>
        <w:pBdr>
          <w:bottom w:val="single" w:sz="24" w:space="1" w:color="00008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BYLAWS OF THE (</w:t>
      </w:r>
      <w:r w:rsidRPr="004E3D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Insert AMSA Chapter’s full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</w:p>
    <w:p w14:paraId="34099C8E" w14:textId="2A04A0AB" w:rsidR="00076925" w:rsidRDefault="00410B79">
      <w:pPr>
        <w:pBdr>
          <w:bottom w:val="single" w:sz="24" w:space="1" w:color="00008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AMERICAN MEDICAL STUDENT </w:t>
      </w:r>
      <w:proofErr w:type="gramStart"/>
      <w:r w:rsidR="004E3DD7">
        <w:rPr>
          <w:rFonts w:ascii="Times New Roman" w:eastAsia="Times New Roman" w:hAnsi="Times New Roman" w:cs="Times New Roman"/>
          <w:b/>
          <w:sz w:val="24"/>
          <w:szCs w:val="24"/>
        </w:rPr>
        <w:t>ASSOCIATION;</w:t>
      </w:r>
      <w:proofErr w:type="gramEnd"/>
      <w:r w:rsidR="004E3D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2A6A73" w14:textId="1051FAA7" w:rsidR="00411097" w:rsidRDefault="00410B79">
      <w:pPr>
        <w:pBdr>
          <w:bottom w:val="single" w:sz="24" w:space="1" w:color="000080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hereafter known as “The Chapter”.</w:t>
      </w:r>
    </w:p>
    <w:p w14:paraId="75427500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8F6CD1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I. FEES AND DUES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4E40CD" w14:textId="77777777" w:rsidR="00411097" w:rsidRDefault="00410B7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Sample Options (choose one):</w:t>
      </w:r>
    </w:p>
    <w:p w14:paraId="4318DF20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34A29F" w14:textId="7573E1FA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Chapter has chosen to collect local dues. They will collect dues in the amount of ___ per member on a ___ basis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how dues are collected </w:t>
      </w:r>
      <w:r w:rsidR="004E3DD7">
        <w:rPr>
          <w:rFonts w:ascii="Times New Roman" w:eastAsia="Times New Roman" w:hAnsi="Times New Roman" w:cs="Times New Roman"/>
          <w:i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annually on a rolling basis)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privileges are outlined in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AMSA’s Constitution and Bylaws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F78FD" w14:textId="77777777" w:rsidR="00411097" w:rsidRDefault="0041109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E169D6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Chapter does not collect local dues, any member that joins National can also join the chapter at no additional cost. The privileges are outlined in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AMSA’s Constitution and Bylaws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60E2F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AF9F0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D3565D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II. MEETINGS</w:t>
      </w:r>
    </w:p>
    <w:p w14:paraId="22A4F006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98DF89" w14:textId="77777777" w:rsidR="00411097" w:rsidRDefault="00410B7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Ample notification shall be given to all local members regarding meetings held by the Chapter Board.</w:t>
      </w:r>
    </w:p>
    <w:p w14:paraId="7FC45DF0" w14:textId="77777777" w:rsidR="00411097" w:rsidRDefault="00410B7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membership meeting shall be h</w:t>
      </w:r>
      <w:r>
        <w:rPr>
          <w:rFonts w:ascii="Times New Roman" w:eastAsia="Times New Roman" w:hAnsi="Times New Roman" w:cs="Times New Roman"/>
          <w:sz w:val="24"/>
          <w:szCs w:val="24"/>
        </w:rPr>
        <w:t>eld at the set location(s).</w:t>
      </w:r>
    </w:p>
    <w:p w14:paraId="2B54B1DB" w14:textId="77777777" w:rsidR="00411097" w:rsidRDefault="00410B7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Annual election meeting: The annual election meeting shall be held in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April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shall be executed by the Chapter President and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Chapter Finance Officer</w:t>
      </w:r>
      <w:r>
        <w:rPr>
          <w:rFonts w:ascii="Times New Roman" w:eastAsia="Times New Roman" w:hAnsi="Times New Roman" w:cs="Times New Roman"/>
          <w:sz w:val="24"/>
          <w:szCs w:val="24"/>
        </w:rPr>
        <w:t>. Only active members may vote. Candidates receiving a simple majority of the votes shall be declared victorious.</w:t>
      </w:r>
    </w:p>
    <w:p w14:paraId="6B37E729" w14:textId="77777777" w:rsidR="00411097" w:rsidRDefault="00410B7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meetings can be called by any member of the Chapter Board or any five members of the general membership. The purpose of any special me</w:t>
      </w:r>
      <w:r>
        <w:rPr>
          <w:rFonts w:ascii="Times New Roman" w:eastAsia="Times New Roman" w:hAnsi="Times New Roman" w:cs="Times New Roman"/>
          <w:sz w:val="24"/>
          <w:szCs w:val="24"/>
        </w:rPr>
        <w:t>eting shall be stated in the announcements of the general meetings.</w:t>
      </w:r>
    </w:p>
    <w:p w14:paraId="5AAC1078" w14:textId="77777777" w:rsidR="00411097" w:rsidRDefault="00410B7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Chapter Board meetings: </w:t>
      </w:r>
    </w:p>
    <w:p w14:paraId="1600C01C" w14:textId="77777777" w:rsidR="00411097" w:rsidRDefault="00410B79">
      <w:pPr>
        <w:numPr>
          <w:ilvl w:val="1"/>
          <w:numId w:val="1"/>
        </w:numPr>
        <w:ind w:left="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Chapter Board shall be required to meet in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second week of each month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D6B6F5" w14:textId="77777777" w:rsidR="00411097" w:rsidRDefault="00410B79">
      <w:pPr>
        <w:numPr>
          <w:ilvl w:val="1"/>
          <w:numId w:val="1"/>
        </w:numPr>
        <w:ind w:left="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Chapter Board may consist of the Chapter President, Chapter Finance Officer, 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pter Membership Officer, and the Chapter Advocacy Officer, and any other positions the chapter wishes to create. </w:t>
      </w:r>
    </w:p>
    <w:p w14:paraId="0935A51B" w14:textId="77777777" w:rsidR="00411097" w:rsidRDefault="00410B79">
      <w:pPr>
        <w:numPr>
          <w:ilvl w:val="1"/>
          <w:numId w:val="1"/>
        </w:numPr>
        <w:ind w:left="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Quorum at the Chapter Board meetings shall consist of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percent of the voting members of the Chapter Board. </w:t>
      </w:r>
    </w:p>
    <w:p w14:paraId="6A0BB6F3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686AE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III. APPOINTED OFFICERS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419AB77" w14:textId="1B8AB9EF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request of the Chapter Board, the Membership Director shall be an affiliate member </w:t>
      </w:r>
      <w:r w:rsidR="004E3DD7"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Chapter, and an ex-officio member of the Chapter Board. The advisor shall oversee the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Chapter Board and general membership of the organization on matters re</w:t>
      </w:r>
      <w:r>
        <w:rPr>
          <w:rFonts w:ascii="Times New Roman" w:eastAsia="Times New Roman" w:hAnsi="Times New Roman" w:cs="Times New Roman"/>
          <w:sz w:val="24"/>
          <w:szCs w:val="24"/>
        </w:rPr>
        <w:t>levant to the purposes set forth in these bylaws.</w:t>
      </w:r>
    </w:p>
    <w:p w14:paraId="67D39712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577923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IV. ELECTIONS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5CF0743" w14:textId="497DBE15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Nomination shall be taken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two 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weeks before election day by ballot and made public for everyone’s awareness. If the nominee chooses to accept the </w:t>
      </w:r>
      <w:r w:rsidR="004E3DD7">
        <w:rPr>
          <w:rFonts w:ascii="Times New Roman" w:eastAsia="Times New Roman" w:hAnsi="Times New Roman" w:cs="Times New Roman"/>
          <w:sz w:val="24"/>
          <w:szCs w:val="24"/>
        </w:rPr>
        <w:t>nomination,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he/she will give 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5-minute speech on the day of election</w:t>
      </w:r>
      <w:r>
        <w:rPr>
          <w:rFonts w:ascii="Times New Roman" w:eastAsia="Times New Roman" w:hAnsi="Times New Roman" w:cs="Times New Roman"/>
          <w:sz w:val="24"/>
          <w:szCs w:val="24"/>
        </w:rPr>
        <w:t>. The annual election meeting shall be held at the general membership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eting in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>. Persons may not nominate or second themselves. If only one name is submitted for a position, the vote may be taken vocally. In other events, names shall be written on ballots and counted immediately. Candidates receiving a simple majority o</w:t>
      </w:r>
      <w:r>
        <w:rPr>
          <w:rFonts w:ascii="Times New Roman" w:eastAsia="Times New Roman" w:hAnsi="Times New Roman" w:cs="Times New Roman"/>
          <w:sz w:val="24"/>
          <w:szCs w:val="24"/>
        </w:rPr>
        <w:t>f votes cast shall be declared winner. At least two-thirds of the votes must be attained to win a run-off. Chapter Board members are not allowed to vote in elections, and only the Chapter President is allowed to break ties. The newly elected members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Chapter Board must meet with the previous Chapter Board members for transition of The Chapter functions.</w:t>
      </w:r>
    </w:p>
    <w:p w14:paraId="12565D20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3F488E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V. PARLIAMENTARY PROCEDURE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4CF1E58" w14:textId="1BBCF34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rules contained within the current edition of Robert’s Rules of Order shall govern The Chapter in all cases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which they are applicable, </w:t>
      </w:r>
      <w:r w:rsidR="004E3DD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cases to which Robert’s Rules of Order opposes the Bylaws and Internal Affairs of The Chapter, the Bylaws and Internal Affairs will supersede.</w:t>
      </w:r>
    </w:p>
    <w:p w14:paraId="68CBD6A1" w14:textId="77777777" w:rsidR="00411097" w:rsidRDefault="004110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5D552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VI. AMENDMENTS OF BYLAWS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805AE23" w14:textId="77777777" w:rsidR="00411097" w:rsidRDefault="00410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Amendments to these bylaws may be adopted at a</w:t>
      </w:r>
      <w:r>
        <w:rPr>
          <w:rFonts w:ascii="Times New Roman" w:eastAsia="Times New Roman" w:hAnsi="Times New Roman" w:cs="Times New Roman"/>
          <w:sz w:val="24"/>
          <w:szCs w:val="24"/>
        </w:rPr>
        <w:t>ny general membership of the organization by a majority vote, provided the amendment proposed has been submitted in writing to The Chapter President and is posted at least two (2) weeks prior to meeting.</w:t>
      </w:r>
    </w:p>
    <w:p w14:paraId="3CF65E97" w14:textId="77777777" w:rsidR="00411097" w:rsidRDefault="00411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79395" w14:textId="77777777" w:rsidR="00411097" w:rsidRDefault="00411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594F8" w14:textId="77777777" w:rsidR="00411097" w:rsidRDefault="004110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0BFC5" w14:textId="77777777" w:rsidR="00411097" w:rsidRDefault="00410B7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Chapter acknowledges the terms above.</w:t>
      </w:r>
    </w:p>
    <w:p w14:paraId="72399B97" w14:textId="77777777" w:rsidR="00411097" w:rsidRDefault="0041109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2712E472" w14:textId="77777777" w:rsidR="00411097" w:rsidRDefault="00410B79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Officer Name: </w:t>
      </w:r>
      <w:r>
        <w:rPr>
          <w:rFonts w:ascii="Calibri" w:eastAsia="Calibri" w:hAnsi="Calibri" w:cs="Calibri"/>
          <w:sz w:val="24"/>
          <w:szCs w:val="24"/>
        </w:rPr>
        <w:t>_____________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AD2B52B" w14:textId="77777777" w:rsidR="00411097" w:rsidRDefault="00410B7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CFE9A" w14:textId="77777777" w:rsidR="00411097" w:rsidRDefault="00410B79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Officer Title: ______________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6401476" w14:textId="77777777" w:rsidR="00411097" w:rsidRDefault="00410B79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135DEDC1" w14:textId="77777777" w:rsidR="00411097" w:rsidRDefault="00410B7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Date: _____________</w:t>
      </w:r>
    </w:p>
    <w:sectPr w:rsidR="0041109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AD5F" w14:textId="77777777" w:rsidR="00410B79" w:rsidRDefault="00410B79">
      <w:pPr>
        <w:spacing w:line="240" w:lineRule="auto"/>
      </w:pPr>
      <w:r>
        <w:separator/>
      </w:r>
    </w:p>
  </w:endnote>
  <w:endnote w:type="continuationSeparator" w:id="0">
    <w:p w14:paraId="198CA0CC" w14:textId="77777777" w:rsidR="00410B79" w:rsidRDefault="00410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2AB9" w14:textId="77777777" w:rsidR="00410B79" w:rsidRDefault="00410B79">
      <w:pPr>
        <w:spacing w:line="240" w:lineRule="auto"/>
      </w:pPr>
      <w:r>
        <w:separator/>
      </w:r>
    </w:p>
  </w:footnote>
  <w:footnote w:type="continuationSeparator" w:id="0">
    <w:p w14:paraId="687ECF61" w14:textId="77777777" w:rsidR="00410B79" w:rsidRDefault="00410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B1E0" w14:textId="77777777" w:rsidR="00411097" w:rsidRDefault="00410B79">
    <w:pPr>
      <w:ind w:left="720"/>
      <w:jc w:val="right"/>
    </w:pPr>
    <w:r>
      <w:rPr>
        <w:noProof/>
      </w:rPr>
      <w:drawing>
        <wp:inline distT="114300" distB="114300" distL="114300" distR="114300" wp14:anchorId="3DD7BC00" wp14:editId="1854234B">
          <wp:extent cx="1166813" cy="46302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463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120F"/>
    <w:multiLevelType w:val="multilevel"/>
    <w:tmpl w:val="0F4AE6B2"/>
    <w:lvl w:ilvl="0">
      <w:start w:val="1"/>
      <w:numFmt w:val="upperLetter"/>
      <w:lvlText w:val="%1."/>
      <w:lvlJc w:val="left"/>
      <w:pPr>
        <w:ind w:left="37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18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34" w:hanging="180"/>
      </w:pPr>
      <w:rPr>
        <w:vertAlign w:val="baseline"/>
      </w:rPr>
    </w:lvl>
  </w:abstractNum>
  <w:num w:numId="1" w16cid:durableId="856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97"/>
    <w:rsid w:val="00076925"/>
    <w:rsid w:val="00410B79"/>
    <w:rsid w:val="00411097"/>
    <w:rsid w:val="00417B58"/>
    <w:rsid w:val="004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ED66"/>
  <w15:docId w15:val="{B8582483-D5A0-4D3B-9E45-C2C27FB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a.org/about/governance-politics/constitution-byla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sa.org/about/governance-politics/constitution-byla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Emilia Chape</cp:lastModifiedBy>
  <cp:revision>4</cp:revision>
  <dcterms:created xsi:type="dcterms:W3CDTF">2022-04-05T17:27:00Z</dcterms:created>
  <dcterms:modified xsi:type="dcterms:W3CDTF">2022-04-05T17:33:00Z</dcterms:modified>
</cp:coreProperties>
</file>